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CBDE7" w14:textId="4917C3C6" w:rsidR="008E32A5" w:rsidRPr="00727EC3" w:rsidRDefault="008E32A5" w:rsidP="008E32A5">
      <w:pPr>
        <w:pStyle w:val="BodyText"/>
        <w:kinsoku w:val="0"/>
        <w:overflowPunct w:val="0"/>
        <w:spacing w:before="71"/>
        <w:ind w:left="0" w:right="0" w:firstLine="0"/>
        <w:rPr>
          <w:rFonts w:ascii="Roboto Lt" w:hAnsi="Roboto Lt"/>
          <w:b/>
          <w:bCs/>
          <w:color w:val="0070C0"/>
          <w:sz w:val="32"/>
          <w:szCs w:val="32"/>
        </w:rPr>
      </w:pPr>
      <w:r w:rsidRPr="00727EC3">
        <w:rPr>
          <w:rFonts w:ascii="Roboto Lt" w:hAnsi="Roboto Lt"/>
          <w:b/>
          <w:bCs/>
          <w:color w:val="0070C0"/>
          <w:sz w:val="32"/>
          <w:szCs w:val="32"/>
        </w:rPr>
        <w:t>GERD Fact Sheet</w:t>
      </w:r>
    </w:p>
    <w:p w14:paraId="5B2DC248" w14:textId="77777777" w:rsidR="008E32A5" w:rsidRPr="00727EC3" w:rsidRDefault="008E32A5" w:rsidP="008E32A5">
      <w:pPr>
        <w:pStyle w:val="BodyText"/>
        <w:kinsoku w:val="0"/>
        <w:overflowPunct w:val="0"/>
        <w:spacing w:before="46"/>
        <w:ind w:left="0" w:right="0" w:firstLine="0"/>
        <w:rPr>
          <w:rFonts w:ascii="Roboto Lt" w:hAnsi="Roboto Lt"/>
          <w:b/>
          <w:bCs/>
          <w:sz w:val="22"/>
          <w:szCs w:val="22"/>
        </w:rPr>
      </w:pPr>
      <w:r w:rsidRPr="00727EC3">
        <w:rPr>
          <w:rFonts w:ascii="Roboto Lt" w:hAnsi="Roboto Lt"/>
          <w:b/>
          <w:bCs/>
          <w:sz w:val="22"/>
          <w:szCs w:val="22"/>
        </w:rPr>
        <w:t>What is GERD?</w:t>
      </w:r>
    </w:p>
    <w:p w14:paraId="05831EC0" w14:textId="77777777" w:rsidR="008E32A5" w:rsidRPr="00337BA4" w:rsidRDefault="008E32A5" w:rsidP="008E32A5">
      <w:pPr>
        <w:pStyle w:val="ListParagraph"/>
        <w:numPr>
          <w:ilvl w:val="0"/>
          <w:numId w:val="1"/>
        </w:numPr>
        <w:tabs>
          <w:tab w:val="left" w:pos="480"/>
        </w:tabs>
        <w:kinsoku w:val="0"/>
        <w:overflowPunct w:val="0"/>
        <w:spacing w:before="119"/>
        <w:ind w:right="271" w:hanging="359"/>
        <w:rPr>
          <w:rFonts w:asciiTheme="majorHAnsi" w:hAnsiTheme="majorHAnsi" w:cstheme="majorHAnsi"/>
          <w:sz w:val="20"/>
          <w:szCs w:val="20"/>
        </w:rPr>
      </w:pPr>
      <w:r w:rsidRPr="00337BA4">
        <w:rPr>
          <w:rFonts w:asciiTheme="majorHAnsi" w:hAnsiTheme="majorHAnsi" w:cstheme="majorHAnsi"/>
          <w:sz w:val="20"/>
          <w:szCs w:val="20"/>
        </w:rPr>
        <w:t>Gastroesophageal reflux disease (GERD) is a chronic condition caused by changes in the gastroesophageal valve (GEV) that allows acid to flow back from the stomach into the</w:t>
      </w:r>
      <w:r w:rsidRPr="00337BA4">
        <w:rPr>
          <w:rFonts w:asciiTheme="majorHAnsi" w:hAnsiTheme="majorHAnsi" w:cstheme="majorHAnsi"/>
          <w:spacing w:val="-12"/>
          <w:sz w:val="20"/>
          <w:szCs w:val="20"/>
        </w:rPr>
        <w:t xml:space="preserve"> </w:t>
      </w:r>
      <w:r w:rsidRPr="00337BA4">
        <w:rPr>
          <w:rFonts w:asciiTheme="majorHAnsi" w:hAnsiTheme="majorHAnsi" w:cstheme="majorHAnsi"/>
          <w:sz w:val="20"/>
          <w:szCs w:val="20"/>
        </w:rPr>
        <w:t>esophagus.</w:t>
      </w:r>
    </w:p>
    <w:p w14:paraId="123F5005" w14:textId="77777777" w:rsidR="008E32A5" w:rsidRPr="00337BA4" w:rsidRDefault="008E32A5" w:rsidP="008E32A5">
      <w:pPr>
        <w:pStyle w:val="ListParagraph"/>
        <w:numPr>
          <w:ilvl w:val="0"/>
          <w:numId w:val="1"/>
        </w:numPr>
        <w:tabs>
          <w:tab w:val="left" w:pos="480"/>
        </w:tabs>
        <w:kinsoku w:val="0"/>
        <w:overflowPunct w:val="0"/>
        <w:ind w:right="389" w:hanging="359"/>
        <w:rPr>
          <w:rFonts w:asciiTheme="majorHAnsi" w:hAnsiTheme="majorHAnsi" w:cstheme="majorHAnsi"/>
          <w:sz w:val="20"/>
          <w:szCs w:val="20"/>
        </w:rPr>
      </w:pPr>
      <w:r w:rsidRPr="00337BA4">
        <w:rPr>
          <w:rFonts w:asciiTheme="majorHAnsi" w:hAnsiTheme="majorHAnsi" w:cstheme="majorHAnsi"/>
          <w:sz w:val="20"/>
          <w:szCs w:val="20"/>
        </w:rPr>
        <w:t>GERD can lead to short-term bothersome symptoms, which can vary from mild or moderate to severe depending on the</w:t>
      </w:r>
      <w:r w:rsidRPr="00337BA4">
        <w:rPr>
          <w:rFonts w:asciiTheme="majorHAnsi" w:hAnsiTheme="majorHAnsi" w:cstheme="majorHAnsi"/>
          <w:spacing w:val="-5"/>
          <w:sz w:val="20"/>
          <w:szCs w:val="20"/>
        </w:rPr>
        <w:t xml:space="preserve"> </w:t>
      </w:r>
      <w:r w:rsidRPr="00337BA4">
        <w:rPr>
          <w:rFonts w:asciiTheme="majorHAnsi" w:hAnsiTheme="majorHAnsi" w:cstheme="majorHAnsi"/>
          <w:sz w:val="20"/>
          <w:szCs w:val="20"/>
        </w:rPr>
        <w:t>person.</w:t>
      </w:r>
    </w:p>
    <w:p w14:paraId="21ED7FFF" w14:textId="77777777" w:rsidR="008E32A5" w:rsidRPr="00337BA4" w:rsidRDefault="008E32A5" w:rsidP="008E32A5">
      <w:pPr>
        <w:pStyle w:val="ListParagraph"/>
        <w:numPr>
          <w:ilvl w:val="1"/>
          <w:numId w:val="1"/>
        </w:numPr>
        <w:tabs>
          <w:tab w:val="left" w:pos="1201"/>
        </w:tabs>
        <w:kinsoku w:val="0"/>
        <w:overflowPunct w:val="0"/>
        <w:spacing w:before="3" w:line="235" w:lineRule="auto"/>
        <w:ind w:right="181" w:hanging="360"/>
        <w:rPr>
          <w:rFonts w:asciiTheme="majorHAnsi" w:hAnsiTheme="majorHAnsi" w:cstheme="majorHAnsi"/>
          <w:sz w:val="20"/>
          <w:szCs w:val="20"/>
        </w:rPr>
      </w:pPr>
      <w:r w:rsidRPr="00337BA4">
        <w:rPr>
          <w:rFonts w:asciiTheme="majorHAnsi" w:hAnsiTheme="majorHAnsi" w:cstheme="majorHAnsi"/>
          <w:sz w:val="20"/>
          <w:szCs w:val="20"/>
          <w:u w:val="single"/>
        </w:rPr>
        <w:t>Typical symptoms</w:t>
      </w:r>
      <w:r w:rsidRPr="00337BA4">
        <w:rPr>
          <w:rFonts w:asciiTheme="majorHAnsi" w:hAnsiTheme="majorHAnsi" w:cstheme="majorHAnsi"/>
          <w:sz w:val="20"/>
          <w:szCs w:val="20"/>
        </w:rPr>
        <w:t>: burning sensation in the chest (heartburn), regurgitation of food or sour liquid (acid reflux) and difficulty swallowing</w:t>
      </w:r>
      <w:r w:rsidRPr="00337BA4">
        <w:rPr>
          <w:rFonts w:asciiTheme="majorHAnsi" w:hAnsiTheme="majorHAnsi" w:cstheme="majorHAnsi"/>
          <w:spacing w:val="-13"/>
          <w:sz w:val="20"/>
          <w:szCs w:val="20"/>
        </w:rPr>
        <w:t xml:space="preserve"> </w:t>
      </w:r>
      <w:r w:rsidRPr="00337BA4">
        <w:rPr>
          <w:rFonts w:asciiTheme="majorHAnsi" w:hAnsiTheme="majorHAnsi" w:cstheme="majorHAnsi"/>
          <w:sz w:val="20"/>
          <w:szCs w:val="20"/>
        </w:rPr>
        <w:t>(dysphagia)</w:t>
      </w:r>
    </w:p>
    <w:p w14:paraId="2F542B9C" w14:textId="77777777" w:rsidR="008E32A5" w:rsidRPr="00337BA4" w:rsidRDefault="008E32A5" w:rsidP="008E32A5">
      <w:pPr>
        <w:pStyle w:val="ListParagraph"/>
        <w:numPr>
          <w:ilvl w:val="1"/>
          <w:numId w:val="1"/>
        </w:numPr>
        <w:tabs>
          <w:tab w:val="left" w:pos="1201"/>
        </w:tabs>
        <w:kinsoku w:val="0"/>
        <w:overflowPunct w:val="0"/>
        <w:spacing w:before="4" w:line="235" w:lineRule="auto"/>
        <w:ind w:right="152" w:hanging="360"/>
        <w:rPr>
          <w:rFonts w:asciiTheme="majorHAnsi" w:hAnsiTheme="majorHAnsi" w:cstheme="majorHAnsi"/>
          <w:sz w:val="20"/>
          <w:szCs w:val="20"/>
        </w:rPr>
      </w:pPr>
      <w:r w:rsidRPr="00337BA4">
        <w:rPr>
          <w:rFonts w:asciiTheme="majorHAnsi" w:hAnsiTheme="majorHAnsi" w:cstheme="majorHAnsi"/>
          <w:sz w:val="20"/>
          <w:szCs w:val="20"/>
          <w:u w:val="single"/>
        </w:rPr>
        <w:t>Atypical symptoms</w:t>
      </w:r>
      <w:r w:rsidRPr="00337BA4">
        <w:rPr>
          <w:rFonts w:asciiTheme="majorHAnsi" w:hAnsiTheme="majorHAnsi" w:cstheme="majorHAnsi"/>
          <w:sz w:val="20"/>
          <w:szCs w:val="20"/>
        </w:rPr>
        <w:t>: sensation of a lump in the throat (</w:t>
      </w:r>
      <w:proofErr w:type="spellStart"/>
      <w:r w:rsidRPr="00337BA4">
        <w:rPr>
          <w:rFonts w:asciiTheme="majorHAnsi" w:hAnsiTheme="majorHAnsi" w:cstheme="majorHAnsi"/>
          <w:sz w:val="20"/>
          <w:szCs w:val="20"/>
        </w:rPr>
        <w:t>globus</w:t>
      </w:r>
      <w:proofErr w:type="spellEnd"/>
      <w:r w:rsidRPr="00337BA4">
        <w:rPr>
          <w:rFonts w:asciiTheme="majorHAnsi" w:hAnsiTheme="majorHAnsi" w:cstheme="majorHAnsi"/>
          <w:sz w:val="20"/>
          <w:szCs w:val="20"/>
        </w:rPr>
        <w:t>), asthma, chronic dry cough, chronic sore throat, laryngitis and hoarseness, dental erosions and non-cardiac chest</w:t>
      </w:r>
      <w:r w:rsidRPr="00337BA4">
        <w:rPr>
          <w:rFonts w:asciiTheme="majorHAnsi" w:hAnsiTheme="majorHAnsi" w:cstheme="majorHAnsi"/>
          <w:spacing w:val="-15"/>
          <w:sz w:val="20"/>
          <w:szCs w:val="20"/>
        </w:rPr>
        <w:t xml:space="preserve"> </w:t>
      </w:r>
      <w:r w:rsidRPr="00337BA4">
        <w:rPr>
          <w:rFonts w:asciiTheme="majorHAnsi" w:hAnsiTheme="majorHAnsi" w:cstheme="majorHAnsi"/>
          <w:sz w:val="20"/>
          <w:szCs w:val="20"/>
        </w:rPr>
        <w:t>pain</w:t>
      </w:r>
    </w:p>
    <w:p w14:paraId="4B19CE92" w14:textId="233417AC" w:rsidR="008E32A5" w:rsidRPr="00337BA4" w:rsidRDefault="008E32A5" w:rsidP="008E32A5">
      <w:pPr>
        <w:pStyle w:val="ListParagraph"/>
        <w:numPr>
          <w:ilvl w:val="0"/>
          <w:numId w:val="1"/>
        </w:numPr>
        <w:tabs>
          <w:tab w:val="left" w:pos="480"/>
        </w:tabs>
        <w:kinsoku w:val="0"/>
        <w:overflowPunct w:val="0"/>
        <w:ind w:right="138" w:hanging="359"/>
        <w:rPr>
          <w:rFonts w:asciiTheme="majorHAnsi" w:hAnsiTheme="majorHAnsi" w:cstheme="majorHAnsi"/>
          <w:sz w:val="20"/>
          <w:szCs w:val="20"/>
        </w:rPr>
      </w:pPr>
      <w:r w:rsidRPr="00337BA4">
        <w:rPr>
          <w:rFonts w:asciiTheme="majorHAnsi" w:hAnsiTheme="majorHAnsi" w:cstheme="majorHAnsi"/>
          <w:sz w:val="20"/>
          <w:szCs w:val="20"/>
        </w:rPr>
        <w:t>A physician can diagnos</w:t>
      </w:r>
      <w:r w:rsidRPr="00337BA4">
        <w:rPr>
          <w:rFonts w:asciiTheme="majorHAnsi" w:hAnsiTheme="majorHAnsi" w:cstheme="majorHAnsi"/>
          <w:sz w:val="20"/>
          <w:szCs w:val="20"/>
        </w:rPr>
        <w:t xml:space="preserve">e </w:t>
      </w:r>
      <w:r w:rsidRPr="00337BA4">
        <w:rPr>
          <w:rFonts w:asciiTheme="majorHAnsi" w:hAnsiTheme="majorHAnsi" w:cstheme="majorHAnsi"/>
          <w:sz w:val="20"/>
          <w:szCs w:val="20"/>
        </w:rPr>
        <w:t>GERD based on the presentation of common symptoms, especially in patients with more mild cases. However, the diagnosis of more chronic GERD can be challenging given the variety of symptoms and</w:t>
      </w:r>
      <w:r w:rsidRPr="00337BA4">
        <w:rPr>
          <w:rFonts w:asciiTheme="majorHAnsi" w:hAnsiTheme="majorHAnsi" w:cstheme="majorHAnsi"/>
          <w:spacing w:val="-19"/>
          <w:sz w:val="20"/>
          <w:szCs w:val="20"/>
        </w:rPr>
        <w:t xml:space="preserve"> </w:t>
      </w:r>
      <w:r w:rsidRPr="00337BA4">
        <w:rPr>
          <w:rFonts w:asciiTheme="majorHAnsi" w:hAnsiTheme="majorHAnsi" w:cstheme="majorHAnsi"/>
          <w:sz w:val="20"/>
          <w:szCs w:val="20"/>
        </w:rPr>
        <w:t>manifestations.</w:t>
      </w:r>
    </w:p>
    <w:p w14:paraId="38169B25" w14:textId="77777777" w:rsidR="008E32A5" w:rsidRPr="00337BA4" w:rsidRDefault="008E32A5" w:rsidP="008E32A5">
      <w:pPr>
        <w:pStyle w:val="ListParagraph"/>
        <w:numPr>
          <w:ilvl w:val="1"/>
          <w:numId w:val="1"/>
        </w:numPr>
        <w:tabs>
          <w:tab w:val="left" w:pos="1200"/>
        </w:tabs>
        <w:kinsoku w:val="0"/>
        <w:overflowPunct w:val="0"/>
        <w:spacing w:before="2" w:line="237" w:lineRule="auto"/>
        <w:ind w:left="1199" w:right="630" w:hanging="360"/>
        <w:rPr>
          <w:rFonts w:asciiTheme="majorHAnsi" w:hAnsiTheme="majorHAnsi" w:cstheme="majorHAnsi"/>
          <w:sz w:val="20"/>
          <w:szCs w:val="20"/>
        </w:rPr>
      </w:pPr>
      <w:r w:rsidRPr="00337BA4">
        <w:rPr>
          <w:rFonts w:asciiTheme="majorHAnsi" w:hAnsiTheme="majorHAnsi" w:cstheme="majorHAnsi"/>
          <w:sz w:val="20"/>
          <w:szCs w:val="20"/>
        </w:rPr>
        <w:t xml:space="preserve">There are many tools a physician may use to diagnose GERD including: patient history questionnaires, Esophagogastroduodenoscopy or Endoscopy (EGD), pH monitoring, Impedance, Upper GI Series (Barium Swallow or </w:t>
      </w:r>
      <w:proofErr w:type="spellStart"/>
      <w:r w:rsidRPr="00337BA4">
        <w:rPr>
          <w:rFonts w:asciiTheme="majorHAnsi" w:hAnsiTheme="majorHAnsi" w:cstheme="majorHAnsi"/>
          <w:sz w:val="20"/>
          <w:szCs w:val="20"/>
        </w:rPr>
        <w:t>Esophagram</w:t>
      </w:r>
      <w:proofErr w:type="spellEnd"/>
      <w:r w:rsidRPr="00337BA4">
        <w:rPr>
          <w:rFonts w:asciiTheme="majorHAnsi" w:hAnsiTheme="majorHAnsi" w:cstheme="majorHAnsi"/>
          <w:sz w:val="20"/>
          <w:szCs w:val="20"/>
        </w:rPr>
        <w:t>) and</w:t>
      </w:r>
      <w:r w:rsidRPr="00337BA4">
        <w:rPr>
          <w:rFonts w:asciiTheme="majorHAnsi" w:hAnsiTheme="majorHAnsi" w:cstheme="majorHAnsi"/>
          <w:spacing w:val="-13"/>
          <w:sz w:val="20"/>
          <w:szCs w:val="20"/>
        </w:rPr>
        <w:t xml:space="preserve"> </w:t>
      </w:r>
      <w:r w:rsidRPr="00337BA4">
        <w:rPr>
          <w:rFonts w:asciiTheme="majorHAnsi" w:hAnsiTheme="majorHAnsi" w:cstheme="majorHAnsi"/>
          <w:sz w:val="20"/>
          <w:szCs w:val="20"/>
        </w:rPr>
        <w:t>Manometry</w:t>
      </w:r>
    </w:p>
    <w:p w14:paraId="564AA7B1" w14:textId="20CA5FB2" w:rsidR="008E32A5" w:rsidRPr="00337BA4" w:rsidRDefault="008E32A5" w:rsidP="008E32A5">
      <w:pPr>
        <w:pStyle w:val="ListParagraph"/>
        <w:numPr>
          <w:ilvl w:val="1"/>
          <w:numId w:val="1"/>
        </w:numPr>
        <w:tabs>
          <w:tab w:val="left" w:pos="1201"/>
        </w:tabs>
        <w:kinsoku w:val="0"/>
        <w:overflowPunct w:val="0"/>
        <w:spacing w:before="2" w:line="237" w:lineRule="auto"/>
        <w:ind w:right="231" w:hanging="360"/>
        <w:rPr>
          <w:rFonts w:asciiTheme="majorHAnsi" w:hAnsiTheme="majorHAnsi" w:cstheme="majorHAnsi"/>
          <w:sz w:val="20"/>
          <w:szCs w:val="20"/>
        </w:rPr>
      </w:pPr>
      <w:r w:rsidRPr="00337BA4">
        <w:rPr>
          <w:rFonts w:asciiTheme="majorHAnsi" w:hAnsiTheme="majorHAnsi" w:cstheme="majorHAnsi"/>
          <w:sz w:val="20"/>
          <w:szCs w:val="20"/>
        </w:rPr>
        <w:t>GERD can be a primary condition or a set of symptoms secondary to other chronic gastrointestinal conditions (e.g. nausea, vomiting, inflammatory bowel diseases); determining the source of typical and/or atypical symptoms is critical to an appropriate treatment</w:t>
      </w:r>
      <w:r w:rsidRPr="00337BA4">
        <w:rPr>
          <w:rFonts w:asciiTheme="majorHAnsi" w:hAnsiTheme="majorHAnsi" w:cstheme="majorHAnsi"/>
          <w:spacing w:val="-15"/>
          <w:sz w:val="20"/>
          <w:szCs w:val="20"/>
        </w:rPr>
        <w:t xml:space="preserve"> </w:t>
      </w:r>
      <w:r w:rsidRPr="00337BA4">
        <w:rPr>
          <w:rFonts w:asciiTheme="majorHAnsi" w:hAnsiTheme="majorHAnsi" w:cstheme="majorHAnsi"/>
          <w:sz w:val="20"/>
          <w:szCs w:val="20"/>
        </w:rPr>
        <w:t>plan.</w:t>
      </w:r>
    </w:p>
    <w:p w14:paraId="73530618" w14:textId="1E2882AD" w:rsidR="008E32A5" w:rsidRDefault="00727EC3" w:rsidP="008E32A5">
      <w:pPr>
        <w:pStyle w:val="Default"/>
        <w:rPr>
          <w:rFonts w:ascii="Roboto Lt" w:hAnsi="Roboto Lt"/>
          <w:sz w:val="20"/>
          <w:szCs w:val="20"/>
        </w:rPr>
      </w:pPr>
      <w:r>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2EE9D754" wp14:editId="04A623C3">
                <wp:simplePos x="0" y="0"/>
                <wp:positionH relativeFrom="column">
                  <wp:posOffset>3838575</wp:posOffset>
                </wp:positionH>
                <wp:positionV relativeFrom="paragraph">
                  <wp:posOffset>48260</wp:posOffset>
                </wp:positionV>
                <wp:extent cx="1352550" cy="2476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352550" cy="247650"/>
                        </a:xfrm>
                        <a:prstGeom prst="rect">
                          <a:avLst/>
                        </a:prstGeom>
                        <a:solidFill>
                          <a:schemeClr val="lt1"/>
                        </a:solidFill>
                        <a:ln w="6350">
                          <a:noFill/>
                        </a:ln>
                      </wps:spPr>
                      <wps:txbx>
                        <w:txbxContent>
                          <w:p w14:paraId="7C265E3E" w14:textId="7195BC75" w:rsidR="00727EC3" w:rsidRPr="008E32A5" w:rsidRDefault="00727EC3" w:rsidP="00727EC3">
                            <w:pPr>
                              <w:jc w:val="center"/>
                              <w:rPr>
                                <w:rFonts w:ascii="Roboto Lt" w:hAnsi="Roboto Lt"/>
                                <w:b/>
                                <w:bCs/>
                                <w:sz w:val="20"/>
                                <w:szCs w:val="20"/>
                              </w:rPr>
                            </w:pPr>
                            <w:r>
                              <w:rPr>
                                <w:rFonts w:ascii="Roboto Lt" w:hAnsi="Roboto Lt"/>
                                <w:b/>
                                <w:bCs/>
                                <w:sz w:val="20"/>
                                <w:szCs w:val="20"/>
                              </w:rPr>
                              <w:t>Healthy Va</w:t>
                            </w:r>
                            <w:r>
                              <w:rPr>
                                <w:rFonts w:ascii="Roboto Lt" w:hAnsi="Roboto Lt"/>
                                <w:b/>
                                <w:bCs/>
                                <w:sz w:val="20"/>
                                <w:szCs w:val="20"/>
                              </w:rPr>
                              <w:t>lve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9D754" id="_x0000_t202" coordsize="21600,21600" o:spt="202" path="m,l,21600r21600,l21600,xe">
                <v:stroke joinstyle="miter"/>
                <v:path gradientshapeok="t" o:connecttype="rect"/>
              </v:shapetype>
              <v:shape id="Text Box 6" o:spid="_x0000_s1026" type="#_x0000_t202" style="position:absolute;margin-left:302.25pt;margin-top:3.8pt;width:106.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d1oPwIAAHkEAAAOAAAAZHJzL2Uyb0RvYy54bWysVMFu2zAMvQ/YPwi6L07SJO2MOkXWIsOA&#10;oC2QDj0rstwYkEVNUmJnX78nOWmzbqdhF5kUKZLvkfT1TddotlfO12QKPhoMOVNGUlmbl4J/f1p+&#10;uuLMB2FKocmogh+U5zfzjx+uW5urMW1Jl8oxBDE+b23BtyHYPMu83KpG+AFZZWCsyDUiQHUvWelE&#10;i+iNzsbD4SxryZXWkVTe4/auN/J5il9VSoaHqvIqMF1w1BbS6dK5iWc2vxb5ixN2W8tjGeIfqmhE&#10;bZD0NdSdCILtXP1HqKaWjjxVYSCpyaiqaqkSBqAZDd+hWW+FVQkLyPH2lSb//8LK+/2jY3VZ8Bln&#10;RjRo0ZPqAvtCHZtFdlrrczitLdxCh2t0+XTvcRlBd5Vr4hdwGOzg+fDKbQwm46OL6Xg6hUnCNp5c&#10;ziAjfPb22jofvipqWBQK7tC7RKnYr3zoXU8uMZknXZfLWuukxHlRt9qxvUCndUg1IvhvXtqwFkAv&#10;kDo+MhSf95G1QS0Ra48pSqHbdEcCNlQegN9RPz/eymWNIlfCh0fhMDDAhSUIDzgqTUhCR4mzLbmf&#10;f7uP/ugjrJy1GMCC+x874RRn+ptBhz+PJpM4sUmZTC/HUNy5ZXNuMbvmloB8hHWzMonRP+iTWDlq&#10;nrEri5gVJmEkchc8nMTb0K8Fdk2qxSI5YUatCCuztjKGjqTFFjx1z8LZY58COnxPp1EV+bt29b49&#10;3YtdoKpOvYwE96weecd8p2k47mJcoHM9eb39Mea/AAAA//8DAFBLAwQUAAYACAAAACEAlK8k4eAA&#10;AAAIAQAADwAAAGRycy9kb3ducmV2LnhtbEyPS0/DMBCE70j8B2uRuCDqlLZOFbKpEOIhcaPhIW5u&#10;bJKIeB3FbhL+PcsJjqMZzXyT72bXidEOofWEsFwkICxV3rRUI7yU95dbECFqMrrzZBG+bYBdcXqS&#10;68z4iZ7tuI+14BIKmUZoYuwzKUPVWKfDwveW2Pv0g9OR5VBLM+iJy10nr5JESadb4oVG9/a2sdXX&#10;/ugQPi7q96cwP7xOq82qv3scy/TNlIjnZ/PNNYho5/gXhl98RoeCmQ7+SCaIDkEl6w1HEVIFgv3t&#10;MmV9QFgrBbLI5f8DxQ8AAAD//wMAUEsBAi0AFAAGAAgAAAAhALaDOJL+AAAA4QEAABMAAAAAAAAA&#10;AAAAAAAAAAAAAFtDb250ZW50X1R5cGVzXS54bWxQSwECLQAUAAYACAAAACEAOP0h/9YAAACUAQAA&#10;CwAAAAAAAAAAAAAAAAAvAQAAX3JlbHMvLnJlbHNQSwECLQAUAAYACAAAACEA+dHdaD8CAAB5BAAA&#10;DgAAAAAAAAAAAAAAAAAuAgAAZHJzL2Uyb0RvYy54bWxQSwECLQAUAAYACAAAACEAlK8k4eAAAAAI&#10;AQAADwAAAAAAAAAAAAAAAACZBAAAZHJzL2Rvd25yZXYueG1sUEsFBgAAAAAEAAQA8wAAAKYFAAAA&#10;AA==&#10;" fillcolor="white [3201]" stroked="f" strokeweight=".5pt">
                <v:textbox>
                  <w:txbxContent>
                    <w:p w14:paraId="7C265E3E" w14:textId="7195BC75" w:rsidR="00727EC3" w:rsidRPr="008E32A5" w:rsidRDefault="00727EC3" w:rsidP="00727EC3">
                      <w:pPr>
                        <w:jc w:val="center"/>
                        <w:rPr>
                          <w:rFonts w:ascii="Roboto Lt" w:hAnsi="Roboto Lt"/>
                          <w:b/>
                          <w:bCs/>
                          <w:sz w:val="20"/>
                          <w:szCs w:val="20"/>
                        </w:rPr>
                      </w:pPr>
                      <w:r>
                        <w:rPr>
                          <w:rFonts w:ascii="Roboto Lt" w:hAnsi="Roboto Lt"/>
                          <w:b/>
                          <w:bCs/>
                          <w:sz w:val="20"/>
                          <w:szCs w:val="20"/>
                        </w:rPr>
                        <w:t>Healthy Va</w:t>
                      </w:r>
                      <w:r>
                        <w:rPr>
                          <w:rFonts w:ascii="Roboto Lt" w:hAnsi="Roboto Lt"/>
                          <w:b/>
                          <w:bCs/>
                          <w:sz w:val="20"/>
                          <w:szCs w:val="20"/>
                        </w:rPr>
                        <w:t>lve</w:t>
                      </w:r>
                    </w:p>
                  </w:txbxContent>
                </v:textbox>
              </v:shape>
            </w:pict>
          </mc:Fallback>
        </mc:AlternateContent>
      </w:r>
      <w:r w:rsidRPr="008E32A5">
        <w:rPr>
          <w:rFonts w:ascii="Times New Roman" w:hAnsi="Times New Roman" w:cs="Times New Roman"/>
          <w:noProof/>
          <w:sz w:val="20"/>
          <w:szCs w:val="20"/>
        </w:rPr>
        <w:drawing>
          <wp:anchor distT="0" distB="0" distL="114300" distR="114300" simplePos="0" relativeHeight="251658240" behindDoc="0" locked="0" layoutInCell="1" allowOverlap="1" wp14:anchorId="7ADF01B2" wp14:editId="418CD1D8">
            <wp:simplePos x="0" y="0"/>
            <wp:positionH relativeFrom="column">
              <wp:posOffset>1323975</wp:posOffset>
            </wp:positionH>
            <wp:positionV relativeFrom="paragraph">
              <wp:posOffset>374650</wp:posOffset>
            </wp:positionV>
            <wp:extent cx="1428750" cy="733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9412"/>
                    <a:stretch/>
                  </pic:blipFill>
                  <pic:spPr bwMode="auto">
                    <a:xfrm>
                      <a:off x="0" y="0"/>
                      <a:ext cx="1428750" cy="7334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31DCFFCC" wp14:editId="1329F7EC">
                <wp:simplePos x="0" y="0"/>
                <wp:positionH relativeFrom="column">
                  <wp:posOffset>1266825</wp:posOffset>
                </wp:positionH>
                <wp:positionV relativeFrom="paragraph">
                  <wp:posOffset>50800</wp:posOffset>
                </wp:positionV>
                <wp:extent cx="1352550" cy="2476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352550" cy="247650"/>
                        </a:xfrm>
                        <a:prstGeom prst="rect">
                          <a:avLst/>
                        </a:prstGeom>
                        <a:solidFill>
                          <a:schemeClr val="lt1"/>
                        </a:solidFill>
                        <a:ln w="6350">
                          <a:noFill/>
                        </a:ln>
                      </wps:spPr>
                      <wps:txbx>
                        <w:txbxContent>
                          <w:p w14:paraId="0EB38548" w14:textId="21DD6F45" w:rsidR="008E32A5" w:rsidRPr="008E32A5" w:rsidRDefault="008E32A5" w:rsidP="00727EC3">
                            <w:pPr>
                              <w:jc w:val="center"/>
                              <w:rPr>
                                <w:rFonts w:ascii="Roboto Lt" w:hAnsi="Roboto Lt"/>
                                <w:b/>
                                <w:bCs/>
                                <w:sz w:val="20"/>
                                <w:szCs w:val="20"/>
                              </w:rPr>
                            </w:pPr>
                            <w:r>
                              <w:rPr>
                                <w:rFonts w:ascii="Roboto Lt" w:hAnsi="Roboto Lt"/>
                                <w:b/>
                                <w:bCs/>
                                <w:sz w:val="20"/>
                                <w:szCs w:val="20"/>
                              </w:rPr>
                              <w:t>GERD Va</w:t>
                            </w:r>
                            <w:r w:rsidR="00727EC3">
                              <w:rPr>
                                <w:rFonts w:ascii="Roboto Lt" w:hAnsi="Roboto Lt"/>
                                <w:b/>
                                <w:bCs/>
                                <w:sz w:val="20"/>
                                <w:szCs w:val="20"/>
                              </w:rPr>
                              <w:t>l</w:t>
                            </w:r>
                            <w:r>
                              <w:rPr>
                                <w:rFonts w:ascii="Roboto Lt" w:hAnsi="Roboto Lt"/>
                                <w:b/>
                                <w:bCs/>
                                <w:sz w:val="20"/>
                                <w:szCs w:val="20"/>
                              </w:rPr>
                              <w:t>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CFFCC" id="Text Box 5" o:spid="_x0000_s1027" type="#_x0000_t202" style="position:absolute;margin-left:99.75pt;margin-top:4pt;width:106.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dhQQIAAIAEAAAOAAAAZHJzL2Uyb0RvYy54bWysVFFv2jAQfp+0/2D5fQQooV1EqBgV06Sq&#10;rQRTn41jk0i2z7MNCfv1OztAWbenaS/One/83d13d5ndd1qRg3C+AVPS0WBIiTAcqsbsSvp9s/p0&#10;R4kPzFRMgRElPQpP7+cfP8xaW4gx1KAq4QiCGF+0tqR1CLbIMs9roZkfgBUGjRKcZgFVt8sqx1pE&#10;1yobD4fTrAVXWQdceI+3D72RzhO+lIKHZym9CESVFHML6XTp3MYzm89YsXPM1g0/pcH+IQvNGoNB&#10;L1APLDCyd80fULrhDjzIMOCgM5Cy4SLVgNWMhu+qWdfMilQLkuPthSb//2D50+HFkaYqaU6JYRpb&#10;tBFdIF+gI3lkp7W+QKe1RbfQ4TV2+Xzv8TIW3Umn4xfLIWhHno8XbiMYj49u8nGeo4mjbTy5naKM&#10;8Nnba+t8+CpAkyiU1GHvEqXs8OhD73p2icE8qKZaNUolJc6LWCpHDgw7rULKEcF/81KGtCWd3mDo&#10;+MhAfN4jK4O5xFr7mqIUum2XmLnUu4XqiDQ46MfIW75qMNdH5sMLczg3WB7uQnjGQyrAWHCSKKnB&#10;/fzbffTHdqKVkhbnsKT+x545QYn6ZrDRn0eTSRzcpEzy2zEq7tqyvbaYvV4CEjDCrbM8idE/qLMo&#10;HehXXJlFjIomZjjGLmk4i8vQbweuHBeLRXLCUbUsPJq15RE6chc7selembOndgVs9BOcJ5YV77rW&#10;+/asL/YBZJNaGnnuWT3Rj2OehuK0knGPrvXk9fbjmP8CAAD//wMAUEsDBBQABgAIAAAAIQA8lpnl&#10;3wAAAAgBAAAPAAAAZHJzL2Rvd25yZXYueG1sTI9BT8JAEIXvJvyHzZB4MbAFRKB2S4xRSbxJUcJt&#10;6Y5tY3e26S5t/feOJ73Ny3t5871kO9hadNj6ypGC2TQCgZQ7U1Gh4JA9T9YgfNBkdO0IFXyjh206&#10;ukp0bFxPb9jtQyG4hHysFZQhNLGUPi/Raj91DRJ7n661OrBsC2la3XO5reU8iu6k1RXxh1I3+Fhi&#10;/rW/WAWnm+L46oeX936xXDRPuy5bfZhMqevx8HAPIuAQ/sLwi8/okDLT2V3IeFGz3myWHFWw5kns&#10;387mrM98rCKQaSL/D0h/AAAA//8DAFBLAQItABQABgAIAAAAIQC2gziS/gAAAOEBAAATAAAAAAAA&#10;AAAAAAAAAAAAAABbQ29udGVudF9UeXBlc10ueG1sUEsBAi0AFAAGAAgAAAAhADj9If/WAAAAlAEA&#10;AAsAAAAAAAAAAAAAAAAALwEAAF9yZWxzLy5yZWxzUEsBAi0AFAAGAAgAAAAhAFBqh2FBAgAAgAQA&#10;AA4AAAAAAAAAAAAAAAAALgIAAGRycy9lMm9Eb2MueG1sUEsBAi0AFAAGAAgAAAAhADyWmeXfAAAA&#10;CAEAAA8AAAAAAAAAAAAAAAAAmwQAAGRycy9kb3ducmV2LnhtbFBLBQYAAAAABAAEAPMAAACnBQAA&#10;AAA=&#10;" fillcolor="white [3201]" stroked="f" strokeweight=".5pt">
                <v:textbox>
                  <w:txbxContent>
                    <w:p w14:paraId="0EB38548" w14:textId="21DD6F45" w:rsidR="008E32A5" w:rsidRPr="008E32A5" w:rsidRDefault="008E32A5" w:rsidP="00727EC3">
                      <w:pPr>
                        <w:jc w:val="center"/>
                        <w:rPr>
                          <w:rFonts w:ascii="Roboto Lt" w:hAnsi="Roboto Lt"/>
                          <w:b/>
                          <w:bCs/>
                          <w:sz w:val="20"/>
                          <w:szCs w:val="20"/>
                        </w:rPr>
                      </w:pPr>
                      <w:r>
                        <w:rPr>
                          <w:rFonts w:ascii="Roboto Lt" w:hAnsi="Roboto Lt"/>
                          <w:b/>
                          <w:bCs/>
                          <w:sz w:val="20"/>
                          <w:szCs w:val="20"/>
                        </w:rPr>
                        <w:t>GERD Va</w:t>
                      </w:r>
                      <w:r w:rsidR="00727EC3">
                        <w:rPr>
                          <w:rFonts w:ascii="Roboto Lt" w:hAnsi="Roboto Lt"/>
                          <w:b/>
                          <w:bCs/>
                          <w:sz w:val="20"/>
                          <w:szCs w:val="20"/>
                        </w:rPr>
                        <w:t>l</w:t>
                      </w:r>
                      <w:r>
                        <w:rPr>
                          <w:rFonts w:ascii="Roboto Lt" w:hAnsi="Roboto Lt"/>
                          <w:b/>
                          <w:bCs/>
                          <w:sz w:val="20"/>
                          <w:szCs w:val="20"/>
                        </w:rPr>
                        <w:t>ve</w:t>
                      </w:r>
                    </w:p>
                  </w:txbxContent>
                </v:textbox>
              </v:shape>
            </w:pict>
          </mc:Fallback>
        </mc:AlternateContent>
      </w:r>
    </w:p>
    <w:p w14:paraId="4C2018B5" w14:textId="466F5BF8" w:rsidR="008E32A5" w:rsidRPr="008E32A5" w:rsidRDefault="008E32A5" w:rsidP="008E32A5">
      <w:pPr>
        <w:kinsoku w:val="0"/>
        <w:overflowPunct w:val="0"/>
        <w:autoSpaceDE w:val="0"/>
        <w:autoSpaceDN w:val="0"/>
        <w:adjustRightInd w:val="0"/>
        <w:spacing w:after="0" w:line="240" w:lineRule="auto"/>
        <w:ind w:left="6050"/>
        <w:rPr>
          <w:rFonts w:ascii="Times New Roman" w:hAnsi="Times New Roman" w:cs="Times New Roman"/>
          <w:sz w:val="20"/>
          <w:szCs w:val="20"/>
        </w:rPr>
      </w:pPr>
    </w:p>
    <w:p w14:paraId="5FE6B5F2" w14:textId="32B27358" w:rsidR="008E32A5" w:rsidRPr="008E32A5" w:rsidRDefault="00727EC3" w:rsidP="008E32A5">
      <w:pPr>
        <w:pStyle w:val="Default"/>
        <w:rPr>
          <w:rFonts w:ascii="Roboto Lt" w:hAnsi="Roboto Lt"/>
          <w:sz w:val="20"/>
          <w:szCs w:val="20"/>
        </w:rPr>
      </w:pPr>
      <w:r w:rsidRPr="008E32A5">
        <w:rPr>
          <w:rFonts w:ascii="Times New Roman" w:hAnsi="Times New Roman" w:cs="Times New Roman"/>
          <w:noProof/>
          <w:sz w:val="20"/>
          <w:szCs w:val="20"/>
        </w:rPr>
        <w:drawing>
          <wp:anchor distT="0" distB="0" distL="114300" distR="114300" simplePos="0" relativeHeight="251659264" behindDoc="0" locked="0" layoutInCell="1" allowOverlap="1" wp14:anchorId="76DB0A1E" wp14:editId="1263404A">
            <wp:simplePos x="0" y="0"/>
            <wp:positionH relativeFrom="column">
              <wp:posOffset>3895725</wp:posOffset>
            </wp:positionH>
            <wp:positionV relativeFrom="paragraph">
              <wp:posOffset>87833</wp:posOffset>
            </wp:positionV>
            <wp:extent cx="1447800" cy="7334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9412"/>
                    <a:stretch/>
                  </pic:blipFill>
                  <pic:spPr bwMode="auto">
                    <a:xfrm>
                      <a:off x="0" y="0"/>
                      <a:ext cx="1447800" cy="733425"/>
                    </a:xfrm>
                    <a:prstGeom prst="rect">
                      <a:avLst/>
                    </a:prstGeom>
                    <a:noFill/>
                    <a:ln>
                      <a:noFill/>
                    </a:ln>
                    <a:extLst>
                      <a:ext uri="{53640926-AAD7-44D8-BBD7-CCE9431645EC}">
                        <a14:shadowObscured xmlns:a14="http://schemas.microsoft.com/office/drawing/2010/main"/>
                      </a:ext>
                    </a:extLst>
                  </pic:spPr>
                </pic:pic>
              </a:graphicData>
            </a:graphic>
          </wp:anchor>
        </w:drawing>
      </w:r>
    </w:p>
    <w:p w14:paraId="58510705" w14:textId="29225BB7" w:rsidR="008E32A5" w:rsidRPr="008E32A5" w:rsidRDefault="008E32A5" w:rsidP="008E32A5">
      <w:pPr>
        <w:kinsoku w:val="0"/>
        <w:overflowPunct w:val="0"/>
        <w:autoSpaceDE w:val="0"/>
        <w:autoSpaceDN w:val="0"/>
        <w:adjustRightInd w:val="0"/>
        <w:spacing w:after="0" w:line="240" w:lineRule="auto"/>
        <w:ind w:left="1550"/>
        <w:rPr>
          <w:rFonts w:ascii="Times New Roman" w:hAnsi="Times New Roman" w:cs="Times New Roman"/>
          <w:sz w:val="20"/>
          <w:szCs w:val="20"/>
        </w:rPr>
      </w:pPr>
    </w:p>
    <w:p w14:paraId="4D566553" w14:textId="06C0DFD3" w:rsidR="008E32A5" w:rsidRDefault="008E32A5">
      <w:pPr>
        <w:rPr>
          <w:rFonts w:ascii="Roboto Lt" w:hAnsi="Roboto Lt"/>
        </w:rPr>
      </w:pPr>
    </w:p>
    <w:p w14:paraId="6A6BD1BE" w14:textId="54E7E583" w:rsidR="008E32A5" w:rsidRDefault="008E32A5">
      <w:pPr>
        <w:rPr>
          <w:rFonts w:ascii="Roboto Lt" w:hAnsi="Roboto Lt"/>
          <w:sz w:val="24"/>
          <w:szCs w:val="24"/>
        </w:rPr>
      </w:pPr>
    </w:p>
    <w:p w14:paraId="5F5CAB74" w14:textId="77777777" w:rsidR="00337BA4" w:rsidRPr="00337BA4" w:rsidRDefault="00337BA4">
      <w:pPr>
        <w:rPr>
          <w:rFonts w:ascii="Roboto Lt" w:hAnsi="Roboto Lt"/>
          <w:sz w:val="6"/>
          <w:szCs w:val="6"/>
        </w:rPr>
      </w:pPr>
    </w:p>
    <w:p w14:paraId="6EEA698F" w14:textId="7E046BF6" w:rsidR="008E32A5" w:rsidRPr="008E32A5" w:rsidRDefault="008E32A5" w:rsidP="008E32A5">
      <w:pPr>
        <w:kinsoku w:val="0"/>
        <w:overflowPunct w:val="0"/>
        <w:autoSpaceDE w:val="0"/>
        <w:autoSpaceDN w:val="0"/>
        <w:adjustRightInd w:val="0"/>
        <w:spacing w:before="61" w:after="0" w:line="240" w:lineRule="auto"/>
        <w:ind w:left="40"/>
        <w:outlineLvl w:val="0"/>
        <w:rPr>
          <w:rFonts w:ascii="Roboto Lt" w:hAnsi="Roboto Lt" w:cs="Calibri"/>
          <w:b/>
          <w:bCs/>
        </w:rPr>
      </w:pPr>
      <w:r w:rsidRPr="008E32A5">
        <w:rPr>
          <w:rFonts w:ascii="Roboto Lt" w:hAnsi="Roboto Lt" w:cs="Calibri"/>
          <w:b/>
          <w:bCs/>
        </w:rPr>
        <w:t>Prevalence &amp; Impact of GERD</w:t>
      </w:r>
    </w:p>
    <w:p w14:paraId="31E08225" w14:textId="2116DC74" w:rsidR="008E32A5" w:rsidRPr="008E32A5" w:rsidRDefault="00337BA4" w:rsidP="008E32A5">
      <w:pPr>
        <w:numPr>
          <w:ilvl w:val="0"/>
          <w:numId w:val="1"/>
        </w:numPr>
        <w:tabs>
          <w:tab w:val="left" w:pos="480"/>
        </w:tabs>
        <w:kinsoku w:val="0"/>
        <w:overflowPunct w:val="0"/>
        <w:autoSpaceDE w:val="0"/>
        <w:autoSpaceDN w:val="0"/>
        <w:adjustRightInd w:val="0"/>
        <w:spacing w:before="72" w:after="0" w:line="240" w:lineRule="auto"/>
        <w:ind w:right="6221" w:hanging="359"/>
        <w:jc w:val="both"/>
        <w:rPr>
          <w:rFonts w:asciiTheme="majorHAnsi" w:hAnsiTheme="majorHAnsi" w:cstheme="majorHAnsi"/>
          <w:sz w:val="20"/>
          <w:szCs w:val="20"/>
        </w:rPr>
      </w:pPr>
      <w:r>
        <w:rPr>
          <w:rFonts w:asciiTheme="majorHAnsi" w:hAnsiTheme="majorHAnsi" w:cstheme="majorHAnsi"/>
          <w:noProof/>
          <w:sz w:val="20"/>
          <w:szCs w:val="20"/>
        </w:rPr>
        <w:drawing>
          <wp:anchor distT="0" distB="0" distL="114300" distR="114300" simplePos="0" relativeHeight="251663360" behindDoc="0" locked="0" layoutInCell="1" allowOverlap="1" wp14:anchorId="357C771D" wp14:editId="2313359D">
            <wp:simplePos x="0" y="0"/>
            <wp:positionH relativeFrom="column">
              <wp:posOffset>3346246</wp:posOffset>
            </wp:positionH>
            <wp:positionV relativeFrom="paragraph">
              <wp:posOffset>12700</wp:posOffset>
            </wp:positionV>
            <wp:extent cx="3522980" cy="1206500"/>
            <wp:effectExtent l="0" t="0" r="1270" b="0"/>
            <wp:wrapNone/>
            <wp:docPr id="13" name="Picture 1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ERD Treatment Spectrum.jpg"/>
                    <pic:cNvPicPr/>
                  </pic:nvPicPr>
                  <pic:blipFill>
                    <a:blip r:embed="rId7">
                      <a:extLst>
                        <a:ext uri="{28A0092B-C50C-407E-A947-70E740481C1C}">
                          <a14:useLocalDpi xmlns:a14="http://schemas.microsoft.com/office/drawing/2010/main" val="0"/>
                        </a:ext>
                      </a:extLst>
                    </a:blip>
                    <a:stretch>
                      <a:fillRect/>
                    </a:stretch>
                  </pic:blipFill>
                  <pic:spPr>
                    <a:xfrm>
                      <a:off x="0" y="0"/>
                      <a:ext cx="3522980" cy="1206500"/>
                    </a:xfrm>
                    <a:prstGeom prst="rect">
                      <a:avLst/>
                    </a:prstGeom>
                  </pic:spPr>
                </pic:pic>
              </a:graphicData>
            </a:graphic>
          </wp:anchor>
        </w:drawing>
      </w:r>
      <w:r w:rsidR="008E32A5" w:rsidRPr="008E32A5">
        <w:rPr>
          <w:rFonts w:asciiTheme="majorHAnsi" w:hAnsiTheme="majorHAnsi" w:cstheme="majorHAnsi"/>
          <w:sz w:val="20"/>
          <w:szCs w:val="20"/>
        </w:rPr>
        <w:t>GERD is the most common gastrointestinal- related diagnosis made by physicians during clinical visits in the U.S</w:t>
      </w:r>
      <w:r w:rsidR="008E32A5" w:rsidRPr="008E32A5">
        <w:rPr>
          <w:rFonts w:asciiTheme="majorHAnsi" w:hAnsiTheme="majorHAnsi" w:cstheme="majorHAnsi"/>
          <w:sz w:val="20"/>
          <w:szCs w:val="20"/>
          <w:vertAlign w:val="superscript"/>
        </w:rPr>
        <w:t>.*</w:t>
      </w:r>
    </w:p>
    <w:p w14:paraId="0CED8E33" w14:textId="302B41B5" w:rsidR="008E32A5" w:rsidRPr="008E32A5" w:rsidRDefault="008E32A5" w:rsidP="008E32A5">
      <w:pPr>
        <w:numPr>
          <w:ilvl w:val="0"/>
          <w:numId w:val="1"/>
        </w:numPr>
        <w:tabs>
          <w:tab w:val="left" w:pos="480"/>
        </w:tabs>
        <w:kinsoku w:val="0"/>
        <w:overflowPunct w:val="0"/>
        <w:autoSpaceDE w:val="0"/>
        <w:autoSpaceDN w:val="0"/>
        <w:adjustRightInd w:val="0"/>
        <w:spacing w:after="0" w:line="240" w:lineRule="auto"/>
        <w:ind w:right="6151" w:hanging="359"/>
        <w:jc w:val="both"/>
        <w:rPr>
          <w:rFonts w:asciiTheme="majorHAnsi" w:hAnsiTheme="majorHAnsi" w:cstheme="majorHAnsi"/>
          <w:sz w:val="20"/>
          <w:szCs w:val="20"/>
        </w:rPr>
      </w:pPr>
      <w:r w:rsidRPr="008E32A5">
        <w:rPr>
          <w:rFonts w:asciiTheme="majorHAnsi" w:hAnsiTheme="majorHAnsi" w:cstheme="majorHAnsi"/>
          <w:sz w:val="20"/>
          <w:szCs w:val="20"/>
        </w:rPr>
        <w:t>It is estimated that pain and discomfort from acid reflux impacts over 80 million people at least once per month in the</w:t>
      </w:r>
      <w:r w:rsidRPr="008E32A5">
        <w:rPr>
          <w:rFonts w:asciiTheme="majorHAnsi" w:hAnsiTheme="majorHAnsi" w:cstheme="majorHAnsi"/>
          <w:spacing w:val="-14"/>
          <w:sz w:val="20"/>
          <w:szCs w:val="20"/>
        </w:rPr>
        <w:t xml:space="preserve"> </w:t>
      </w:r>
      <w:r w:rsidRPr="008E32A5">
        <w:rPr>
          <w:rFonts w:asciiTheme="majorHAnsi" w:hAnsiTheme="majorHAnsi" w:cstheme="majorHAnsi"/>
          <w:sz w:val="20"/>
          <w:szCs w:val="20"/>
        </w:rPr>
        <w:t>U.S.</w:t>
      </w:r>
      <w:r w:rsidR="00727EC3" w:rsidRPr="008E32A5">
        <w:rPr>
          <w:rFonts w:asciiTheme="majorHAnsi" w:hAnsiTheme="majorHAnsi" w:cstheme="majorHAnsi"/>
          <w:sz w:val="20"/>
          <w:szCs w:val="20"/>
          <w:vertAlign w:val="superscript"/>
        </w:rPr>
        <w:t>*</w:t>
      </w:r>
    </w:p>
    <w:p w14:paraId="1074FC51" w14:textId="77777777" w:rsidR="008E32A5" w:rsidRPr="008E32A5" w:rsidRDefault="008E32A5" w:rsidP="008E32A5">
      <w:pPr>
        <w:numPr>
          <w:ilvl w:val="0"/>
          <w:numId w:val="1"/>
        </w:numPr>
        <w:tabs>
          <w:tab w:val="left" w:pos="480"/>
        </w:tabs>
        <w:kinsoku w:val="0"/>
        <w:overflowPunct w:val="0"/>
        <w:autoSpaceDE w:val="0"/>
        <w:autoSpaceDN w:val="0"/>
        <w:adjustRightInd w:val="0"/>
        <w:spacing w:after="0" w:line="240" w:lineRule="auto"/>
        <w:ind w:right="5801"/>
        <w:rPr>
          <w:rFonts w:asciiTheme="majorHAnsi" w:hAnsiTheme="majorHAnsi" w:cstheme="majorHAnsi"/>
          <w:sz w:val="20"/>
          <w:szCs w:val="20"/>
        </w:rPr>
      </w:pPr>
      <w:r w:rsidRPr="008E32A5">
        <w:rPr>
          <w:rFonts w:asciiTheme="majorHAnsi" w:hAnsiTheme="majorHAnsi" w:cstheme="majorHAnsi"/>
          <w:sz w:val="20"/>
          <w:szCs w:val="20"/>
        </w:rPr>
        <w:t>GERD can have a significant impact on a patient’s quality of life through persistent typical</w:t>
      </w:r>
      <w:r w:rsidRPr="008E32A5">
        <w:rPr>
          <w:rFonts w:asciiTheme="majorHAnsi" w:hAnsiTheme="majorHAnsi" w:cstheme="majorHAnsi"/>
          <w:spacing w:val="-8"/>
          <w:sz w:val="20"/>
          <w:szCs w:val="20"/>
        </w:rPr>
        <w:t xml:space="preserve"> </w:t>
      </w:r>
      <w:r w:rsidRPr="008E32A5">
        <w:rPr>
          <w:rFonts w:asciiTheme="majorHAnsi" w:hAnsiTheme="majorHAnsi" w:cstheme="majorHAnsi"/>
          <w:sz w:val="20"/>
          <w:szCs w:val="20"/>
        </w:rPr>
        <w:t>and</w:t>
      </w:r>
    </w:p>
    <w:p w14:paraId="73007555" w14:textId="643068A4" w:rsidR="008E32A5" w:rsidRPr="008E32A5" w:rsidRDefault="008E32A5" w:rsidP="008E32A5">
      <w:pPr>
        <w:kinsoku w:val="0"/>
        <w:overflowPunct w:val="0"/>
        <w:autoSpaceDE w:val="0"/>
        <w:autoSpaceDN w:val="0"/>
        <w:adjustRightInd w:val="0"/>
        <w:spacing w:after="0" w:line="240" w:lineRule="auto"/>
        <w:ind w:left="479" w:right="293"/>
        <w:rPr>
          <w:rFonts w:asciiTheme="majorHAnsi" w:hAnsiTheme="majorHAnsi" w:cstheme="majorHAnsi"/>
          <w:sz w:val="20"/>
          <w:szCs w:val="20"/>
        </w:rPr>
      </w:pPr>
      <w:r w:rsidRPr="008E32A5">
        <w:rPr>
          <w:rFonts w:asciiTheme="majorHAnsi" w:hAnsiTheme="majorHAnsi" w:cstheme="majorHAnsi"/>
          <w:sz w:val="20"/>
          <w:szCs w:val="20"/>
        </w:rPr>
        <w:t xml:space="preserve">atypical symptoms, inconsistent sleep patterns, dietary restrictions, additional health care costs and lost productivity from </w:t>
      </w:r>
      <w:proofErr w:type="gramStart"/>
      <w:r w:rsidRPr="008E32A5">
        <w:rPr>
          <w:rFonts w:asciiTheme="majorHAnsi" w:hAnsiTheme="majorHAnsi" w:cstheme="majorHAnsi"/>
          <w:sz w:val="20"/>
          <w:szCs w:val="20"/>
        </w:rPr>
        <w:t>work.</w:t>
      </w:r>
      <w:r w:rsidR="00727EC3" w:rsidRPr="008E32A5">
        <w:rPr>
          <w:rFonts w:asciiTheme="majorHAnsi" w:hAnsiTheme="majorHAnsi" w:cstheme="majorHAnsi"/>
          <w:sz w:val="20"/>
          <w:szCs w:val="20"/>
          <w:vertAlign w:val="superscript"/>
        </w:rPr>
        <w:t>*</w:t>
      </w:r>
      <w:proofErr w:type="gramEnd"/>
    </w:p>
    <w:p w14:paraId="73A229C6" w14:textId="77777777" w:rsidR="008E32A5" w:rsidRPr="008E32A5" w:rsidRDefault="008E32A5" w:rsidP="008E32A5">
      <w:pPr>
        <w:kinsoku w:val="0"/>
        <w:overflowPunct w:val="0"/>
        <w:autoSpaceDE w:val="0"/>
        <w:autoSpaceDN w:val="0"/>
        <w:adjustRightInd w:val="0"/>
        <w:spacing w:before="120" w:after="0" w:line="240" w:lineRule="auto"/>
        <w:ind w:left="120"/>
        <w:outlineLvl w:val="0"/>
        <w:rPr>
          <w:rFonts w:ascii="Roboto Lt" w:hAnsi="Roboto Lt" w:cs="Calibri"/>
          <w:b/>
          <w:bCs/>
        </w:rPr>
      </w:pPr>
      <w:r w:rsidRPr="008E32A5">
        <w:rPr>
          <w:rFonts w:ascii="Roboto Lt" w:hAnsi="Roboto Lt" w:cs="Calibri"/>
          <w:b/>
          <w:bCs/>
        </w:rPr>
        <w:t>Treatment of GERD</w:t>
      </w:r>
    </w:p>
    <w:p w14:paraId="2F298059" w14:textId="77777777" w:rsidR="008E32A5" w:rsidRPr="008E32A5" w:rsidRDefault="008E32A5" w:rsidP="008E32A5">
      <w:pPr>
        <w:numPr>
          <w:ilvl w:val="0"/>
          <w:numId w:val="1"/>
        </w:numPr>
        <w:tabs>
          <w:tab w:val="left" w:pos="480"/>
        </w:tabs>
        <w:kinsoku w:val="0"/>
        <w:overflowPunct w:val="0"/>
        <w:autoSpaceDE w:val="0"/>
        <w:autoSpaceDN w:val="0"/>
        <w:adjustRightInd w:val="0"/>
        <w:spacing w:before="119" w:after="0" w:line="240" w:lineRule="auto"/>
        <w:ind w:right="659" w:hanging="359"/>
        <w:rPr>
          <w:rFonts w:asciiTheme="majorHAnsi" w:hAnsiTheme="majorHAnsi" w:cstheme="majorHAnsi"/>
          <w:sz w:val="20"/>
          <w:szCs w:val="20"/>
        </w:rPr>
      </w:pPr>
      <w:r w:rsidRPr="008E32A5">
        <w:rPr>
          <w:rFonts w:asciiTheme="majorHAnsi" w:hAnsiTheme="majorHAnsi" w:cstheme="majorHAnsi"/>
          <w:sz w:val="20"/>
          <w:szCs w:val="20"/>
        </w:rPr>
        <w:t>Treatment for GERD varies according to the severity of the symptoms and the individual. The following are some examples of how GERD can be</w:t>
      </w:r>
      <w:r w:rsidRPr="008E32A5">
        <w:rPr>
          <w:rFonts w:asciiTheme="majorHAnsi" w:hAnsiTheme="majorHAnsi" w:cstheme="majorHAnsi"/>
          <w:spacing w:val="-16"/>
          <w:sz w:val="20"/>
          <w:szCs w:val="20"/>
        </w:rPr>
        <w:t xml:space="preserve"> </w:t>
      </w:r>
      <w:r w:rsidRPr="008E32A5">
        <w:rPr>
          <w:rFonts w:asciiTheme="majorHAnsi" w:hAnsiTheme="majorHAnsi" w:cstheme="majorHAnsi"/>
          <w:sz w:val="20"/>
          <w:szCs w:val="20"/>
        </w:rPr>
        <w:t>treated:</w:t>
      </w:r>
    </w:p>
    <w:p w14:paraId="662DB411" w14:textId="77777777" w:rsidR="008E32A5" w:rsidRPr="008E32A5" w:rsidRDefault="008E32A5" w:rsidP="008E32A5">
      <w:pPr>
        <w:numPr>
          <w:ilvl w:val="1"/>
          <w:numId w:val="1"/>
        </w:numPr>
        <w:tabs>
          <w:tab w:val="left" w:pos="1201"/>
        </w:tabs>
        <w:kinsoku w:val="0"/>
        <w:overflowPunct w:val="0"/>
        <w:autoSpaceDE w:val="0"/>
        <w:autoSpaceDN w:val="0"/>
        <w:adjustRightInd w:val="0"/>
        <w:spacing w:before="6" w:after="0" w:line="232" w:lineRule="auto"/>
        <w:ind w:right="148" w:hanging="360"/>
        <w:rPr>
          <w:rFonts w:asciiTheme="majorHAnsi" w:hAnsiTheme="majorHAnsi" w:cstheme="majorHAnsi"/>
          <w:sz w:val="20"/>
          <w:szCs w:val="20"/>
        </w:rPr>
      </w:pPr>
      <w:r w:rsidRPr="008E32A5">
        <w:rPr>
          <w:rFonts w:asciiTheme="majorHAnsi" w:hAnsiTheme="majorHAnsi" w:cstheme="majorHAnsi"/>
          <w:sz w:val="20"/>
          <w:szCs w:val="20"/>
          <w:u w:val="single"/>
        </w:rPr>
        <w:t>Dietary and Lifestyle</w:t>
      </w:r>
      <w:r w:rsidRPr="008E32A5">
        <w:rPr>
          <w:rFonts w:asciiTheme="majorHAnsi" w:hAnsiTheme="majorHAnsi" w:cstheme="majorHAnsi"/>
          <w:sz w:val="20"/>
          <w:szCs w:val="20"/>
        </w:rPr>
        <w:t>: Changes in a patient’s diet and lifestyle may help mild GERD sufferers control infrequent</w:t>
      </w:r>
      <w:r w:rsidRPr="008E32A5">
        <w:rPr>
          <w:rFonts w:asciiTheme="majorHAnsi" w:hAnsiTheme="majorHAnsi" w:cstheme="majorHAnsi"/>
          <w:spacing w:val="-7"/>
          <w:sz w:val="20"/>
          <w:szCs w:val="20"/>
        </w:rPr>
        <w:t xml:space="preserve"> </w:t>
      </w:r>
      <w:r w:rsidRPr="008E32A5">
        <w:rPr>
          <w:rFonts w:asciiTheme="majorHAnsi" w:hAnsiTheme="majorHAnsi" w:cstheme="majorHAnsi"/>
          <w:sz w:val="20"/>
          <w:szCs w:val="20"/>
        </w:rPr>
        <w:t>symptoms.</w:t>
      </w:r>
    </w:p>
    <w:p w14:paraId="0261D2EF" w14:textId="77777777" w:rsidR="008E32A5" w:rsidRPr="008E32A5" w:rsidRDefault="008E32A5" w:rsidP="008E32A5">
      <w:pPr>
        <w:numPr>
          <w:ilvl w:val="1"/>
          <w:numId w:val="1"/>
        </w:numPr>
        <w:tabs>
          <w:tab w:val="left" w:pos="1201"/>
        </w:tabs>
        <w:kinsoku w:val="0"/>
        <w:overflowPunct w:val="0"/>
        <w:autoSpaceDE w:val="0"/>
        <w:autoSpaceDN w:val="0"/>
        <w:adjustRightInd w:val="0"/>
        <w:spacing w:before="3" w:after="0" w:line="237" w:lineRule="auto"/>
        <w:ind w:right="138" w:hanging="360"/>
        <w:rPr>
          <w:rFonts w:asciiTheme="majorHAnsi" w:hAnsiTheme="majorHAnsi" w:cstheme="majorHAnsi"/>
          <w:sz w:val="20"/>
          <w:szCs w:val="20"/>
        </w:rPr>
      </w:pPr>
      <w:proofErr w:type="gramStart"/>
      <w:r w:rsidRPr="008E32A5">
        <w:rPr>
          <w:rFonts w:asciiTheme="majorHAnsi" w:hAnsiTheme="majorHAnsi" w:cstheme="majorHAnsi"/>
          <w:sz w:val="20"/>
          <w:szCs w:val="20"/>
          <w:u w:val="single"/>
        </w:rPr>
        <w:t>Over-the-Counter</w:t>
      </w:r>
      <w:proofErr w:type="gramEnd"/>
      <w:r w:rsidRPr="008E32A5">
        <w:rPr>
          <w:rFonts w:asciiTheme="majorHAnsi" w:hAnsiTheme="majorHAnsi" w:cstheme="majorHAnsi"/>
          <w:sz w:val="20"/>
          <w:szCs w:val="20"/>
          <w:u w:val="single"/>
        </w:rPr>
        <w:t xml:space="preserve"> and Prescribed Pharmaceuticals</w:t>
      </w:r>
      <w:r w:rsidRPr="008E32A5">
        <w:rPr>
          <w:rFonts w:asciiTheme="majorHAnsi" w:hAnsiTheme="majorHAnsi" w:cstheme="majorHAnsi"/>
          <w:i/>
          <w:iCs/>
          <w:sz w:val="20"/>
          <w:szCs w:val="20"/>
        </w:rPr>
        <w:t xml:space="preserve">: </w:t>
      </w:r>
      <w:r w:rsidRPr="008E32A5">
        <w:rPr>
          <w:rFonts w:asciiTheme="majorHAnsi" w:hAnsiTheme="majorHAnsi" w:cstheme="majorHAnsi"/>
          <w:sz w:val="20"/>
          <w:szCs w:val="20"/>
        </w:rPr>
        <w:t>Some over-the-counter medications, such as proton pump inhibitors (PPIs), can provide temporary relief, but do not treat the underlying anatomical problem or stop the disease from worsening. Evidence continues to mount on use of PPIs. Long-term dependency is now associated with complications including negative impacts throughout the body on the gastrointestinal system, nutrient absorption, bones, kidneys, heart, and shortened lifespans.</w:t>
      </w:r>
      <w:r w:rsidRPr="008E32A5">
        <w:rPr>
          <w:rFonts w:asciiTheme="majorHAnsi" w:hAnsiTheme="majorHAnsi" w:cstheme="majorHAnsi"/>
          <w:spacing w:val="-32"/>
          <w:sz w:val="20"/>
          <w:szCs w:val="20"/>
        </w:rPr>
        <w:t xml:space="preserve"> </w:t>
      </w:r>
      <w:r w:rsidRPr="008E32A5">
        <w:rPr>
          <w:rFonts w:asciiTheme="majorHAnsi" w:hAnsiTheme="majorHAnsi" w:cstheme="majorHAnsi"/>
          <w:sz w:val="20"/>
          <w:szCs w:val="20"/>
        </w:rPr>
        <w:t>*</w:t>
      </w:r>
    </w:p>
    <w:p w14:paraId="7DE5DDBB" w14:textId="77777777" w:rsidR="008E32A5" w:rsidRPr="008E32A5" w:rsidRDefault="008E32A5" w:rsidP="008E32A5">
      <w:pPr>
        <w:numPr>
          <w:ilvl w:val="1"/>
          <w:numId w:val="1"/>
        </w:numPr>
        <w:tabs>
          <w:tab w:val="left" w:pos="1201"/>
        </w:tabs>
        <w:kinsoku w:val="0"/>
        <w:overflowPunct w:val="0"/>
        <w:autoSpaceDE w:val="0"/>
        <w:autoSpaceDN w:val="0"/>
        <w:adjustRightInd w:val="0"/>
        <w:spacing w:before="7" w:after="0" w:line="237" w:lineRule="auto"/>
        <w:ind w:right="110" w:hanging="360"/>
        <w:rPr>
          <w:rFonts w:asciiTheme="majorHAnsi" w:hAnsiTheme="majorHAnsi" w:cstheme="majorHAnsi"/>
          <w:sz w:val="20"/>
          <w:szCs w:val="20"/>
        </w:rPr>
      </w:pPr>
      <w:r w:rsidRPr="008E32A5">
        <w:rPr>
          <w:rFonts w:asciiTheme="majorHAnsi" w:hAnsiTheme="majorHAnsi" w:cstheme="majorHAnsi"/>
          <w:sz w:val="20"/>
          <w:szCs w:val="20"/>
          <w:u w:val="single"/>
        </w:rPr>
        <w:t>Anti-reflux Surgery</w:t>
      </w:r>
      <w:r w:rsidRPr="008E32A5">
        <w:rPr>
          <w:rFonts w:asciiTheme="majorHAnsi" w:hAnsiTheme="majorHAnsi" w:cstheme="majorHAnsi"/>
          <w:i/>
          <w:iCs/>
          <w:sz w:val="20"/>
          <w:szCs w:val="20"/>
        </w:rPr>
        <w:t xml:space="preserve">: </w:t>
      </w:r>
      <w:r w:rsidRPr="008E32A5">
        <w:rPr>
          <w:rFonts w:asciiTheme="majorHAnsi" w:hAnsiTheme="majorHAnsi" w:cstheme="majorHAnsi"/>
          <w:sz w:val="20"/>
          <w:szCs w:val="20"/>
        </w:rPr>
        <w:t>Chronic GERD sufferers may benefit from incisionless interventions or laparoscopic surgeries designed to reconstruct the anatomical components of the anti-reflux barrier. This approach</w:t>
      </w:r>
      <w:r w:rsidRPr="008E32A5">
        <w:rPr>
          <w:rFonts w:asciiTheme="majorHAnsi" w:hAnsiTheme="majorHAnsi" w:cstheme="majorHAnsi"/>
          <w:spacing w:val="7"/>
          <w:sz w:val="20"/>
          <w:szCs w:val="20"/>
        </w:rPr>
        <w:t xml:space="preserve"> </w:t>
      </w:r>
      <w:r w:rsidRPr="008E32A5">
        <w:rPr>
          <w:rFonts w:asciiTheme="majorHAnsi" w:hAnsiTheme="majorHAnsi" w:cstheme="majorHAnsi"/>
          <w:sz w:val="20"/>
          <w:szCs w:val="20"/>
        </w:rPr>
        <w:t>restores the body’s normal defense against reflux. Conventional surgery has long been considered an effective solution to treating GERD; however, it frequently introduces negative side-effects such as difficulty swallowing (26%), bloating (36%) and increased flatulence (65%). *</w:t>
      </w:r>
      <w:bookmarkStart w:id="0" w:name="_GoBack"/>
      <w:bookmarkEnd w:id="0"/>
    </w:p>
    <w:p w14:paraId="76785701" w14:textId="77777777" w:rsidR="008E32A5" w:rsidRPr="008E32A5" w:rsidRDefault="008E32A5" w:rsidP="008E32A5">
      <w:pPr>
        <w:numPr>
          <w:ilvl w:val="0"/>
          <w:numId w:val="1"/>
        </w:numPr>
        <w:tabs>
          <w:tab w:val="left" w:pos="480"/>
        </w:tabs>
        <w:kinsoku w:val="0"/>
        <w:overflowPunct w:val="0"/>
        <w:autoSpaceDE w:val="0"/>
        <w:autoSpaceDN w:val="0"/>
        <w:adjustRightInd w:val="0"/>
        <w:spacing w:before="4" w:after="0" w:line="240" w:lineRule="auto"/>
        <w:ind w:right="133" w:hanging="359"/>
        <w:rPr>
          <w:rFonts w:asciiTheme="majorHAnsi" w:hAnsiTheme="majorHAnsi" w:cstheme="majorHAnsi"/>
          <w:sz w:val="20"/>
          <w:szCs w:val="20"/>
        </w:rPr>
      </w:pPr>
      <w:r w:rsidRPr="008E32A5">
        <w:rPr>
          <w:rFonts w:asciiTheme="majorHAnsi" w:hAnsiTheme="majorHAnsi" w:cstheme="majorHAnsi"/>
          <w:sz w:val="20"/>
          <w:szCs w:val="20"/>
        </w:rPr>
        <w:t>The goals of any GERD treatment regimen are symptom control, prevention of GERD-related complications and healing of esophagitis, and to help patients get back to life, free of the distraction and discomfort of</w:t>
      </w:r>
      <w:r w:rsidRPr="008E32A5">
        <w:rPr>
          <w:rFonts w:asciiTheme="majorHAnsi" w:hAnsiTheme="majorHAnsi" w:cstheme="majorHAnsi"/>
          <w:spacing w:val="-14"/>
          <w:sz w:val="20"/>
          <w:szCs w:val="20"/>
        </w:rPr>
        <w:t xml:space="preserve"> </w:t>
      </w:r>
      <w:r w:rsidRPr="008E32A5">
        <w:rPr>
          <w:rFonts w:asciiTheme="majorHAnsi" w:hAnsiTheme="majorHAnsi" w:cstheme="majorHAnsi"/>
          <w:sz w:val="20"/>
          <w:szCs w:val="20"/>
        </w:rPr>
        <w:t>GERD.</w:t>
      </w:r>
    </w:p>
    <w:p w14:paraId="2FF38325" w14:textId="77777777" w:rsidR="00337BA4" w:rsidRDefault="00337BA4" w:rsidP="00337BA4">
      <w:pPr>
        <w:pStyle w:val="BodyText"/>
        <w:kinsoku w:val="0"/>
        <w:overflowPunct w:val="0"/>
        <w:ind w:left="119" w:right="117" w:firstLine="0"/>
        <w:rPr>
          <w:sz w:val="16"/>
          <w:szCs w:val="16"/>
        </w:rPr>
      </w:pPr>
    </w:p>
    <w:p w14:paraId="22180F6D" w14:textId="01F6C797" w:rsidR="008E32A5" w:rsidRPr="00337BA4" w:rsidRDefault="00337BA4" w:rsidP="00337BA4">
      <w:pPr>
        <w:pStyle w:val="BodyText"/>
        <w:kinsoku w:val="0"/>
        <w:overflowPunct w:val="0"/>
        <w:ind w:left="119" w:right="117" w:firstLine="0"/>
        <w:rPr>
          <w:sz w:val="16"/>
          <w:szCs w:val="16"/>
        </w:rPr>
      </w:pPr>
      <w:r w:rsidRPr="00337BA4">
        <w:rPr>
          <w:sz w:val="16"/>
          <w:szCs w:val="16"/>
        </w:rPr>
        <w:t xml:space="preserve">*References: </w:t>
      </w:r>
      <w:hyperlink r:id="rId8" w:history="1">
        <w:r w:rsidRPr="00337BA4">
          <w:rPr>
            <w:color w:val="0000FF"/>
            <w:sz w:val="16"/>
            <w:szCs w:val="16"/>
          </w:rPr>
          <w:t>http://www.gerdhelp.com/gerd-references/</w:t>
        </w:r>
      </w:hyperlink>
      <w:r w:rsidRPr="00337BA4">
        <w:rPr>
          <w:sz w:val="16"/>
          <w:szCs w:val="16"/>
        </w:rPr>
        <w:tab/>
      </w:r>
      <w:r w:rsidRPr="00337BA4">
        <w:rPr>
          <w:sz w:val="16"/>
          <w:szCs w:val="16"/>
        </w:rPr>
        <w:tab/>
      </w:r>
      <w:r w:rsidRPr="00337BA4">
        <w:rPr>
          <w:sz w:val="16"/>
          <w:szCs w:val="16"/>
        </w:rPr>
        <w:tab/>
      </w:r>
      <w:r w:rsidRPr="00337BA4">
        <w:rPr>
          <w:sz w:val="16"/>
          <w:szCs w:val="16"/>
        </w:rPr>
        <w:tab/>
      </w:r>
      <w:r w:rsidRPr="00337BA4">
        <w:rPr>
          <w:sz w:val="16"/>
          <w:szCs w:val="16"/>
        </w:rPr>
        <w:tab/>
      </w:r>
      <w:r w:rsidRPr="00337BA4">
        <w:rPr>
          <w:sz w:val="16"/>
          <w:szCs w:val="16"/>
        </w:rPr>
        <w:tab/>
      </w:r>
      <w:r w:rsidRPr="00337BA4">
        <w:rPr>
          <w:sz w:val="16"/>
          <w:szCs w:val="16"/>
        </w:rPr>
        <w:tab/>
      </w:r>
      <w:r>
        <w:rPr>
          <w:sz w:val="16"/>
          <w:szCs w:val="16"/>
        </w:rPr>
        <w:tab/>
        <w:t xml:space="preserve">              </w:t>
      </w:r>
      <w:r w:rsidRPr="00337BA4">
        <w:rPr>
          <w:sz w:val="16"/>
          <w:szCs w:val="16"/>
        </w:rPr>
        <w:t>NP02380-03</w:t>
      </w:r>
    </w:p>
    <w:sectPr w:rsidR="008E32A5" w:rsidRPr="00337BA4" w:rsidSect="00337BA4">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Roboto Lt">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479" w:hanging="360"/>
      </w:pPr>
      <w:rPr>
        <w:rFonts w:ascii="Symbol" w:hAnsi="Symbol" w:cs="Symbol"/>
        <w:b w:val="0"/>
        <w:bCs w:val="0"/>
        <w:w w:val="100"/>
        <w:sz w:val="20"/>
        <w:szCs w:val="20"/>
      </w:rPr>
    </w:lvl>
    <w:lvl w:ilvl="1">
      <w:numFmt w:val="bullet"/>
      <w:lvlText w:val="o"/>
      <w:lvlJc w:val="left"/>
      <w:pPr>
        <w:ind w:left="1200" w:hanging="361"/>
      </w:pPr>
      <w:rPr>
        <w:rFonts w:ascii="Courier New" w:hAnsi="Courier New" w:cs="Courier New"/>
        <w:b w:val="0"/>
        <w:bCs w:val="0"/>
        <w:w w:val="100"/>
        <w:sz w:val="20"/>
        <w:szCs w:val="20"/>
      </w:rPr>
    </w:lvl>
    <w:lvl w:ilvl="2">
      <w:numFmt w:val="bullet"/>
      <w:lvlText w:val="•"/>
      <w:lvlJc w:val="left"/>
      <w:pPr>
        <w:ind w:left="2208" w:hanging="361"/>
      </w:pPr>
    </w:lvl>
    <w:lvl w:ilvl="3">
      <w:numFmt w:val="bullet"/>
      <w:lvlText w:val="•"/>
      <w:lvlJc w:val="left"/>
      <w:pPr>
        <w:ind w:left="3217" w:hanging="361"/>
      </w:pPr>
    </w:lvl>
    <w:lvl w:ilvl="4">
      <w:numFmt w:val="bullet"/>
      <w:lvlText w:val="•"/>
      <w:lvlJc w:val="left"/>
      <w:pPr>
        <w:ind w:left="4226" w:hanging="361"/>
      </w:pPr>
    </w:lvl>
    <w:lvl w:ilvl="5">
      <w:numFmt w:val="bullet"/>
      <w:lvlText w:val="•"/>
      <w:lvlJc w:val="left"/>
      <w:pPr>
        <w:ind w:left="5235" w:hanging="361"/>
      </w:pPr>
    </w:lvl>
    <w:lvl w:ilvl="6">
      <w:numFmt w:val="bullet"/>
      <w:lvlText w:val="•"/>
      <w:lvlJc w:val="left"/>
      <w:pPr>
        <w:ind w:left="6244" w:hanging="361"/>
      </w:pPr>
    </w:lvl>
    <w:lvl w:ilvl="7">
      <w:numFmt w:val="bullet"/>
      <w:lvlText w:val="•"/>
      <w:lvlJc w:val="left"/>
      <w:pPr>
        <w:ind w:left="7253" w:hanging="361"/>
      </w:pPr>
    </w:lvl>
    <w:lvl w:ilvl="8">
      <w:numFmt w:val="bullet"/>
      <w:lvlText w:val="•"/>
      <w:lvlJc w:val="left"/>
      <w:pPr>
        <w:ind w:left="8262" w:hanging="36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A5"/>
    <w:rsid w:val="00260E0A"/>
    <w:rsid w:val="00337BA4"/>
    <w:rsid w:val="00727EC3"/>
    <w:rsid w:val="008E3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EB083"/>
  <w15:chartTrackingRefBased/>
  <w15:docId w15:val="{DBB8D8FC-8CC0-4DB3-83CF-B9D1C45D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8E32A5"/>
    <w:pPr>
      <w:autoSpaceDE w:val="0"/>
      <w:autoSpaceDN w:val="0"/>
      <w:adjustRightInd w:val="0"/>
      <w:spacing w:before="61" w:after="0" w:line="240" w:lineRule="auto"/>
      <w:ind w:left="40"/>
      <w:outlineLvl w:val="0"/>
    </w:pPr>
    <w:rPr>
      <w:rFonts w:ascii="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32A5"/>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1"/>
    <w:rsid w:val="008E32A5"/>
    <w:rPr>
      <w:rFonts w:ascii="Calibri" w:hAnsi="Calibri" w:cs="Calibri"/>
      <w:b/>
      <w:bCs/>
      <w:sz w:val="24"/>
      <w:szCs w:val="24"/>
    </w:rPr>
  </w:style>
  <w:style w:type="paragraph" w:styleId="BodyText">
    <w:name w:val="Body Text"/>
    <w:basedOn w:val="Normal"/>
    <w:link w:val="BodyTextChar"/>
    <w:uiPriority w:val="1"/>
    <w:qFormat/>
    <w:rsid w:val="008E32A5"/>
    <w:pPr>
      <w:autoSpaceDE w:val="0"/>
      <w:autoSpaceDN w:val="0"/>
      <w:adjustRightInd w:val="0"/>
      <w:spacing w:after="0" w:line="240" w:lineRule="auto"/>
      <w:ind w:left="479" w:right="110" w:hanging="360"/>
    </w:pPr>
    <w:rPr>
      <w:rFonts w:ascii="Calibri" w:hAnsi="Calibri" w:cs="Calibri"/>
      <w:sz w:val="20"/>
      <w:szCs w:val="20"/>
    </w:rPr>
  </w:style>
  <w:style w:type="character" w:customStyle="1" w:styleId="BodyTextChar">
    <w:name w:val="Body Text Char"/>
    <w:basedOn w:val="DefaultParagraphFont"/>
    <w:link w:val="BodyText"/>
    <w:uiPriority w:val="1"/>
    <w:rsid w:val="008E32A5"/>
    <w:rPr>
      <w:rFonts w:ascii="Calibri" w:hAnsi="Calibri" w:cs="Calibri"/>
      <w:sz w:val="20"/>
      <w:szCs w:val="20"/>
    </w:rPr>
  </w:style>
  <w:style w:type="paragraph" w:styleId="ListParagraph">
    <w:name w:val="List Paragraph"/>
    <w:basedOn w:val="Normal"/>
    <w:uiPriority w:val="1"/>
    <w:qFormat/>
    <w:rsid w:val="008E32A5"/>
    <w:pPr>
      <w:autoSpaceDE w:val="0"/>
      <w:autoSpaceDN w:val="0"/>
      <w:adjustRightInd w:val="0"/>
      <w:spacing w:after="0" w:line="240" w:lineRule="auto"/>
      <w:ind w:left="479" w:right="110" w:hanging="360"/>
    </w:pPr>
    <w:rPr>
      <w:rFonts w:ascii="Calibri" w:hAnsi="Calibri" w:cs="Calibri"/>
      <w:sz w:val="24"/>
      <w:szCs w:val="24"/>
    </w:rPr>
  </w:style>
  <w:style w:type="paragraph" w:customStyle="1" w:styleId="TableParagraph">
    <w:name w:val="Table Paragraph"/>
    <w:basedOn w:val="Normal"/>
    <w:uiPriority w:val="1"/>
    <w:qFormat/>
    <w:rsid w:val="008E32A5"/>
    <w:pPr>
      <w:autoSpaceDE w:val="0"/>
      <w:autoSpaceDN w:val="0"/>
      <w:adjustRightInd w:val="0"/>
      <w:spacing w:after="0" w:line="180" w:lineRule="exact"/>
      <w:ind w:left="200"/>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rdhelp.com/gerd-references/"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Proffitt</dc:creator>
  <cp:keywords/>
  <dc:description/>
  <cp:lastModifiedBy>Wendy Proffitt</cp:lastModifiedBy>
  <cp:revision>1</cp:revision>
  <dcterms:created xsi:type="dcterms:W3CDTF">2019-07-31T22:05:00Z</dcterms:created>
  <dcterms:modified xsi:type="dcterms:W3CDTF">2019-07-31T22:39:00Z</dcterms:modified>
</cp:coreProperties>
</file>